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pPr>
      <w:r>
        <w:rPr>
          <w:rFonts w:ascii="Times New Roman;serif" w:hAnsi="Times New Roman;serif"/>
          <w:b/>
          <w:color w:val="000000"/>
          <w:sz w:val="20"/>
        </w:rPr>
        <w:t>Washington, D.C. 20549</w:t>
      </w:r>
      <w:r>
        <w:rPr>
          <w:color w:val="000000"/>
        </w:rPr>
        <w:t xml:space="preserve"> </w:t>
      </w:r>
    </w:p>
    <w:p>
      <w:pPr>
        <w:pStyle w:val="TextBody"/>
        <w:bidi w:val="0"/>
        <w:spacing w:lineRule="auto" w:line="288" w:before="240" w:after="283"/>
        <w:jc w:val="center"/>
        <w:rPr/>
      </w:pPr>
      <w:r>
        <w:rPr>
          <w:rFonts w:ascii="Times New Roman;serif" w:hAnsi="Times New Roman;serif"/>
          <w:b/>
          <w:color w:val="000000"/>
          <w:sz w:val="20"/>
        </w:rPr>
        <w:t>FORM 8-K</w:t>
      </w:r>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pPr>
      <w:r>
        <w:rPr>
          <w:rFonts w:ascii="Times New Roman;serif" w:hAnsi="Times New Roman;serif"/>
          <w:b/>
          <w:color w:val="000000"/>
          <w:sz w:val="20"/>
        </w:rPr>
        <w:t>Pursuant to Section 13 or 15(d) of the Securities Exchange Act of 1934</w:t>
      </w:r>
      <w:r>
        <w:rPr>
          <w:color w:val="000000"/>
        </w:rPr>
        <w:t xml:space="preserve"> </w:t>
      </w:r>
    </w:p>
    <w:p>
      <w:pPr>
        <w:pStyle w:val="TextBody"/>
        <w:bidi w:val="0"/>
        <w:spacing w:lineRule="auto" w:line="288" w:before="240" w:after="283"/>
        <w:jc w:val="center"/>
        <w:rPr/>
      </w:pPr>
      <w:r>
        <w:rPr>
          <w:rFonts w:ascii="Times New Roman;serif" w:hAnsi="Times New Roman;serif"/>
          <w:b/>
          <w:color w:val="000000"/>
          <w:sz w:val="20"/>
        </w:rPr>
        <w:t>Date of Report (Date of earliest event reported): May 7, 2026</w:t>
      </w:r>
      <w:r>
        <w:rPr>
          <w:color w:val="000000"/>
        </w:rPr>
        <w:t xml:space="preserve"> </w:t>
      </w:r>
    </w:p>
    <w:p>
      <w:pPr>
        <w:pStyle w:val="TextBody"/>
        <w:bidi w:val="0"/>
        <w:spacing w:lineRule="auto" w:line="288" w:before="240" w:after="283"/>
        <w:jc w:val="center"/>
        <w:rPr/>
      </w:pPr>
      <w:r>
        <w:rPr/>
        <w:drawing>
          <wp:inline distT="0" distB="0" distL="0" distR="0">
            <wp:extent cx="1543050"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43050" cy="666750"/>
                    </a:xfrm>
                    <a:prstGeom prst="rect">
                      <a:avLst/>
                    </a:prstGeom>
                  </pic:spPr>
                </pic:pic>
              </a:graphicData>
            </a:graphic>
          </wp:inline>
        </w:drawing>
      </w:r>
      <w:bookmarkStart w:id="0" w:name="i-1"/>
      <w:bookmarkEnd w:id="0"/>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SERVE ROBOTICS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(Exact Name of Registrant as Specified in Charter) </w:t>
      </w:r>
    </w:p>
    <w:tbl>
      <w:tblPr>
        <w:tblW w:w="6891" w:type="dxa"/>
        <w:jc w:val="left"/>
        <w:tblInd w:w="0" w:type="dxa"/>
        <w:tblLayout w:type="fixed"/>
        <w:tblCellMar>
          <w:top w:w="28" w:type="dxa"/>
          <w:left w:w="28" w:type="dxa"/>
          <w:bottom w:w="28" w:type="dxa"/>
          <w:right w:w="28" w:type="dxa"/>
        </w:tblCellMar>
      </w:tblPr>
      <w:tblGrid>
        <w:gridCol w:w="829"/>
        <w:gridCol w:w="729"/>
        <w:gridCol w:w="736"/>
        <w:gridCol w:w="109"/>
        <w:gridCol w:w="109"/>
        <w:gridCol w:w="109"/>
        <w:gridCol w:w="762"/>
        <w:gridCol w:w="762"/>
        <w:gridCol w:w="770"/>
        <w:gridCol w:w="109"/>
        <w:gridCol w:w="109"/>
        <w:gridCol w:w="109"/>
        <w:gridCol w:w="481"/>
        <w:gridCol w:w="481"/>
        <w:gridCol w:w="687"/>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001-42023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85-3844872</w:t>
            </w:r>
          </w:p>
        </w:tc>
      </w:tr>
      <w:tr>
        <w:trPr/>
        <w:tc>
          <w:tcPr>
            <w:tcW w:w="229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tbl>
      <w:tblPr>
        <w:tblW w:w="4721" w:type="dxa"/>
        <w:jc w:val="left"/>
        <w:tblInd w:w="0" w:type="dxa"/>
        <w:tblLayout w:type="fixed"/>
        <w:tblCellMar>
          <w:top w:w="28" w:type="dxa"/>
          <w:left w:w="28" w:type="dxa"/>
          <w:bottom w:w="28" w:type="dxa"/>
          <w:right w:w="28" w:type="dxa"/>
        </w:tblCellMar>
      </w:tblPr>
      <w:tblGrid>
        <w:gridCol w:w="1215"/>
        <w:gridCol w:w="1068"/>
        <w:gridCol w:w="1076"/>
        <w:gridCol w:w="109"/>
        <w:gridCol w:w="109"/>
        <w:gridCol w:w="109"/>
        <w:gridCol w:w="303"/>
        <w:gridCol w:w="303"/>
        <w:gridCol w:w="429"/>
      </w:tblGrid>
      <w:tr>
        <w:trPr/>
        <w:tc>
          <w:tcPr>
            <w:tcW w:w="121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730 Broadway</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Redwood City, 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94063</w:t>
            </w:r>
          </w:p>
        </w:tc>
      </w:tr>
      <w:tr>
        <w:trPr/>
        <w:tc>
          <w:tcPr>
            <w:tcW w:w="335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(818) 860-1352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(Registrant’s telephone number, including area code)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(Former Name or Former Address, if Changed Since Last Report)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240" w:after="283"/>
        <w:jc w:val="both"/>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240" w:after="283"/>
        <w:jc w:val="both"/>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240" w:after="283"/>
        <w:jc w:val="both"/>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240" w:after="283"/>
        <w:jc w:val="both"/>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878" w:type="dxa"/>
        <w:jc w:val="left"/>
        <w:tblInd w:w="0" w:type="dxa"/>
        <w:tblLayout w:type="fixed"/>
        <w:tblCellMar>
          <w:top w:w="28" w:type="dxa"/>
          <w:left w:w="28" w:type="dxa"/>
          <w:bottom w:w="28" w:type="dxa"/>
          <w:right w:w="28" w:type="dxa"/>
        </w:tblCellMar>
      </w:tblPr>
      <w:tblGrid>
        <w:gridCol w:w="1339"/>
        <w:gridCol w:w="1176"/>
        <w:gridCol w:w="1190"/>
        <w:gridCol w:w="109"/>
        <w:gridCol w:w="109"/>
        <w:gridCol w:w="109"/>
        <w:gridCol w:w="564"/>
        <w:gridCol w:w="564"/>
        <w:gridCol w:w="566"/>
        <w:gridCol w:w="109"/>
        <w:gridCol w:w="109"/>
        <w:gridCol w:w="109"/>
        <w:gridCol w:w="1118"/>
        <w:gridCol w:w="1118"/>
        <w:gridCol w:w="1589"/>
      </w:tblGrid>
      <w:tr>
        <w:trPr/>
        <w:tc>
          <w:tcPr>
            <w:tcW w:w="133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705"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SERV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Capital Market</w:t>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240" w:after="283"/>
        <w:jc w:val="righ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240" w:after="283"/>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pPr>
      <w:r>
        <w:rPr>
          <w:rFonts w:ascii="Times New Roman;serif" w:hAnsi="Times New Roman;serif"/>
          <w:b/>
          <w:color w:val="000000"/>
          <w:sz w:val="20"/>
        </w:rPr>
        <w:t>Item 2.02. Results of Operations and Financial Condition.</w:t>
      </w:r>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May 7, 2026, Serve Robotics Inc. (the “Company”) announced its financial results for the three months ended March 31, 2026. The full text of the press release issued in connection with the announcement is furnished as Exhibit 99.1 to this Current Report on Form 8-K.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Item 7.01. Regulation FD Disclosure.</w:t>
      </w:r>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May 7, 2026, the Company made available on its website a revised Company investor presentation. A copy of the presentation is furnished as Exhibit 99.2 to this Current Report on Form 8-K.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in this Form 8-K (including Exhibits 99.1 and 99.2)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9.01</w:t>
      </w:r>
      <w:r>
        <w:rPr>
          <w:color w:val="000000"/>
        </w:rPr>
        <w:t xml:space="preserve"> </w:t>
      </w:r>
      <w:r>
        <w:rPr>
          <w:rFonts w:ascii="Times New Roman;serif" w:hAnsi="Times New Roman;serif"/>
          <w:b/>
          <w:color w:val="000000"/>
          <w:sz w:val="20"/>
        </w:rPr>
        <w:t>Financial Statements and Exhibits.</w:t>
      </w:r>
      <w:r>
        <w:rPr>
          <w:color w:val="000000"/>
        </w:rPr>
        <w:t xml:space="preserve"> </w:t>
      </w:r>
    </w:p>
    <w:p>
      <w:pPr>
        <w:pStyle w:val="TextBody"/>
        <w:bidi w:val="0"/>
        <w:spacing w:lineRule="auto" w:line="288" w:before="240" w:after="283"/>
        <w:ind w:left="0" w:right="0" w:hanging="302"/>
        <w:jc w:val="both"/>
        <w:rPr/>
      </w:pPr>
      <w:r>
        <w:rPr>
          <w:rFonts w:ascii="Times New Roman;serif" w:hAnsi="Times New Roman;serif"/>
          <w:b/>
          <w:color w:val="000000"/>
          <w:sz w:val="20"/>
        </w:rPr>
        <w:t>(d)List of Exhibits.</w:t>
      </w:r>
      <w:r>
        <w:rPr>
          <w:color w:val="000000"/>
        </w:rPr>
        <w:t xml:space="preserve"> </w:t>
      </w:r>
    </w:p>
    <w:tbl>
      <w:tblPr>
        <w:tblW w:w="7738"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929"/>
        <w:gridCol w:w="1929"/>
        <w:gridCol w:w="2742"/>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2742"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serv-20260331_ex991earning.htm">
              <w:r>
                <w:rPr>
                  <w:rStyle w:val="InternetLink"/>
                  <w:rFonts w:ascii="Times New Roman;serif" w:hAnsi="Times New Roman;serif"/>
                  <w:b w:val="false"/>
                  <w:color w:val="0000FF"/>
                  <w:sz w:val="20"/>
                  <w:u w:val="single"/>
                </w:rPr>
                <w:t>Press release, dated May 7, 2026</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serve_investorxdeckx07ma.htm">
              <w:r>
                <w:rPr>
                  <w:rStyle w:val="InternetLink"/>
                  <w:rFonts w:ascii="Times New Roman;serif" w:hAnsi="Times New Roman;serif"/>
                  <w:b w:val="false"/>
                  <w:color w:val="000080"/>
                  <w:sz w:val="20"/>
                  <w:u w:val="single"/>
                </w:rPr>
                <w:t xml:space="preserve">Investor Presentation, dated </w:t>
              </w:r>
            </w:hyperlink>
            <w:hyperlink w:anchor="serve_investorxdeckx07ma.htm">
              <w:r>
                <w:rPr>
                  <w:rStyle w:val="InternetLink"/>
                  <w:rFonts w:ascii="Times New Roman;serif" w:hAnsi="Times New Roman;serif"/>
                  <w:b w:val="false"/>
                  <w:color w:val="000080"/>
                  <w:sz w:val="20"/>
                  <w:u w:val="single"/>
                </w:rPr>
                <w:t>May</w:t>
              </w:r>
            </w:hyperlink>
            <w:hyperlink w:anchor="serve_investorxdeckx07ma.htm">
              <w:r>
                <w:rPr>
                  <w:rStyle w:val="InternetLink"/>
                  <w:rFonts w:ascii="Times New Roman;serif" w:hAnsi="Times New Roman;serif"/>
                  <w:b w:val="false"/>
                  <w:color w:val="000080"/>
                  <w:sz w:val="20"/>
                  <w:u w:val="single"/>
                </w:rPr>
                <w:t xml:space="preserve"> 202</w:t>
              </w:r>
            </w:hyperlink>
            <w:hyperlink w:anchor="serve_investorxdeckx07ma.htm">
              <w:r>
                <w:rPr>
                  <w:rStyle w:val="InternetLink"/>
                  <w:rFonts w:ascii="Times New Roman;serif" w:hAnsi="Times New Roman;serif"/>
                  <w:b w:val="false"/>
                  <w:color w:val="000080"/>
                  <w:sz w:val="20"/>
                  <w:u w:val="single"/>
                </w:rPr>
                <w:t>6</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4860" w:type="dxa"/>
        <w:jc w:val="left"/>
        <w:tblInd w:w="0" w:type="dxa"/>
        <w:tblLayout w:type="fixed"/>
        <w:tblCellMar>
          <w:top w:w="28" w:type="dxa"/>
          <w:left w:w="28" w:type="dxa"/>
          <w:bottom w:w="28" w:type="dxa"/>
          <w:right w:w="28" w:type="dxa"/>
        </w:tblCellMar>
      </w:tblPr>
      <w:tblGrid>
        <w:gridCol w:w="629"/>
        <w:gridCol w:w="553"/>
        <w:gridCol w:w="558"/>
        <w:gridCol w:w="912"/>
        <w:gridCol w:w="912"/>
        <w:gridCol w:w="1296"/>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Serve Robotics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Dated: May 7, 2026</w:t>
            </w:r>
          </w:p>
        </w:tc>
        <w:tc>
          <w:tcPr>
            <w:tcW w:w="31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/s/ Ali Kashani</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Ali Kashani</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Dated: May 7, 2026</w:t>
            </w:r>
          </w:p>
        </w:tc>
        <w:tc>
          <w:tcPr>
            <w:tcW w:w="31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/s/ Brian Read</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Brian Read</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40" w:after="283"/>
        <w:jc w:val="right"/>
        <w:rPr/>
      </w:pPr>
      <w:r>
        <w:rPr>
          <w:rFonts w:ascii="Times New Roman;serif" w:hAnsi="Times New Roman;serif"/>
          <w:b/>
          <w:color w:val="000000"/>
          <w:sz w:val="20"/>
        </w:rPr>
        <w:t>Exhibit 99.1</w:t>
      </w:r>
      <w:r>
        <w:rPr>
          <w:color w:val="000000"/>
        </w:rPr>
        <w:t xml:space="preserve"> </w:t>
      </w:r>
    </w:p>
    <w:p>
      <w:pPr>
        <w:pStyle w:val="TextBody"/>
        <w:bidi w:val="0"/>
        <w:spacing w:before="240" w:after="283"/>
        <w:jc w:val="left"/>
        <w:rPr/>
      </w:pPr>
      <w:r>
        <w:rPr/>
        <w:drawing>
          <wp:inline distT="0" distB="0" distL="0" distR="0">
            <wp:extent cx="1476375" cy="2952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476375" cy="295275"/>
                    </a:xfrm>
                    <a:prstGeom prst="rect">
                      <a:avLst/>
                    </a:prstGeom>
                  </pic:spPr>
                </pic:pic>
              </a:graphicData>
            </a:graphic>
          </wp:inline>
        </w:drawing>
      </w:r>
    </w:p>
    <w:p>
      <w:pPr>
        <w:pStyle w:val="TextBody"/>
        <w:bidi w:val="0"/>
        <w:spacing w:lineRule="auto" w:line="288" w:before="160" w:after="283"/>
        <w:jc w:val="center"/>
        <w:rPr>
          <w:rFonts w:ascii="Times New Roman;serif" w:hAnsi="Times New Roman;serif"/>
          <w:b/>
          <w:i/>
          <w:color w:val="000000"/>
          <w:sz w:val="20"/>
        </w:rPr>
      </w:pPr>
      <w:r>
        <w:rPr>
          <w:rFonts w:ascii="Times New Roman;serif" w:hAnsi="Times New Roman;serif"/>
          <w:b/>
          <w:i/>
          <w:color w:val="000000"/>
          <w:sz w:val="20"/>
        </w:rPr>
        <w:t>Serve Robotics Announces First Quarter 2026 Results with 3X Sequential Revenue Growth</w:t>
      </w:r>
    </w:p>
    <w:p>
      <w:pPr>
        <w:pStyle w:val="TextBody"/>
        <w:bidi w:val="0"/>
        <w:spacing w:before="160" w:after="283"/>
        <w:jc w:val="center"/>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Revenue scaled ahead of plan; Q1 revenue of $3.0 million, up 238% sequentially and 578% year over year, reflecting growth across all offerings.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Entered into additional vertical through acquisition of Diligent Robotics; expanding operating footprint to 44 cities across 14 states.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Improved gross margin over prior quarter, supported by growing software revenue and increasing revenue per robot and operating efficiency.</w:t>
      </w:r>
    </w:p>
    <w:p>
      <w:pPr>
        <w:pStyle w:val="TextBody"/>
        <w:bidi w:val="0"/>
        <w:spacing w:before="0" w:after="0"/>
        <w:jc w:val="both"/>
        <w:rPr/>
      </w:pPr>
      <w:r>
        <w:rPr/>
      </w:r>
    </w:p>
    <w:p>
      <w:pPr>
        <w:pStyle w:val="TextBody"/>
        <w:bidi w:val="0"/>
        <w:spacing w:lineRule="auto" w:line="288" w:before="240" w:after="283"/>
        <w:jc w:val="both"/>
        <w:rPr/>
      </w:pPr>
      <w:r>
        <w:rPr>
          <w:rFonts w:ascii="Times New Roman;serif" w:hAnsi="Times New Roman;serif"/>
          <w:b/>
          <w:color w:val="000000"/>
          <w:sz w:val="20"/>
        </w:rPr>
        <w:t>SAN FRANCISCO, May 7, 2026</w:t>
      </w:r>
      <w:r>
        <w:rPr>
          <w:color w:val="000000"/>
        </w:rPr>
        <w:t xml:space="preserve"> </w:t>
      </w:r>
      <w:r>
        <w:rPr>
          <w:rFonts w:ascii="Times New Roman;serif" w:hAnsi="Times New Roman;serif"/>
          <w:b w:val="false"/>
          <w:color w:val="000000"/>
          <w:sz w:val="20"/>
        </w:rPr>
        <w:t>-- Serve Robotics Inc. (the “Company” or “Serve”) (Nasdaq: SERV), a leading autonomy and robotics company, today announced financial results for the first quarter ended March 31, 2026.</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0"/>
        </w:rPr>
        <w:t>Q1 marks a fundamental shift for Serve. We are leading the development of Physical AI in the real world, operating across multiple physical domains while building towards a unified autonomy platform,” said Dr. Ali Kashani, Serve’s Co-founder and CEO. “Three months into 2026, we are executing against the plan we laid out, with strong early proof points across revenue growth, operational scale, and platform expansion. The investments we made over the past year are beginning to compound, reinforcing our position as a multi-domain autonomy platform and expanding the long-term opportunity ahead.”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"Serve is beginning to convert scale into a stronger financial model,” said Brian Read, CFO of Serve. “Revenue grew significantly, recurring and software revenue became a larger part of the mix, and gross margin percentage improved meaningfully. We remain focused on increasing revenue per robot and per operating hour, driving operating leverage, and building a more durable recurring revenue base, supported by a strong balance sheet.”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Business Highlights</w:t>
      </w:r>
    </w:p>
    <w:p>
      <w:pPr>
        <w:pStyle w:val="TextBody"/>
        <w:bidi w:val="0"/>
        <w:spacing w:lineRule="auto" w:line="288" w:before="240" w:after="283"/>
        <w:ind w:left="0" w:right="0" w:hanging="360"/>
        <w:jc w:val="both"/>
        <w:rPr/>
      </w:pPr>
      <w:r>
        <w:rPr>
          <w:color w:val="000000"/>
        </w:rPr>
        <w:t>•</w:t>
      </w:r>
      <w:r>
        <w:rPr>
          <w:rFonts w:ascii="Times New Roman;serif" w:hAnsi="Times New Roman;serif"/>
          <w:b/>
          <w:color w:val="000000"/>
          <w:sz w:val="20"/>
        </w:rPr>
        <w:t>Multi-Domain Platform Established:</w:t>
      </w:r>
      <w:r>
        <w:rPr>
          <w:color w:val="000000"/>
        </w:rPr>
        <w:t xml:space="preserve"> </w:t>
      </w:r>
      <w:r>
        <w:rPr>
          <w:rFonts w:ascii="Times New Roman;serif" w:hAnsi="Times New Roman;serif"/>
          <w:b w:val="false"/>
          <w:color w:val="000000"/>
          <w:sz w:val="20"/>
        </w:rPr>
        <w:t>Operated as a unified business across sidewalk delivery and healthcare robotics in Q1 following the Diligent Robotics acquisition.</w:t>
      </w:r>
    </w:p>
    <w:p>
      <w:pPr>
        <w:pStyle w:val="TextBody"/>
        <w:bidi w:val="0"/>
        <w:spacing w:lineRule="auto" w:line="288" w:before="240" w:after="283"/>
        <w:ind w:left="0" w:right="0" w:hanging="360"/>
        <w:jc w:val="both"/>
        <w:rPr/>
      </w:pPr>
      <w:r>
        <w:rPr>
          <w:color w:val="000000"/>
        </w:rPr>
        <w:t>•</w:t>
      </w:r>
      <w:r>
        <w:rPr>
          <w:rFonts w:ascii="Times New Roman;serif" w:hAnsi="Times New Roman;serif"/>
          <w:b/>
          <w:color w:val="000000"/>
          <w:sz w:val="20"/>
        </w:rPr>
        <w:t>Operating Footprint Expanded:</w:t>
      </w:r>
      <w:r>
        <w:rPr>
          <w:color w:val="000000"/>
        </w:rPr>
        <w:t xml:space="preserve"> </w:t>
      </w:r>
      <w:r>
        <w:rPr>
          <w:rFonts w:ascii="Times New Roman;serif" w:hAnsi="Times New Roman;serif"/>
          <w:b w:val="false"/>
          <w:color w:val="000000"/>
          <w:sz w:val="20"/>
        </w:rPr>
        <w:t>Now active across 44 cities in 14 states, driven by new market launches, hospital network additions, and continued expansion in existing markets.</w:t>
      </w:r>
    </w:p>
    <w:p>
      <w:pPr>
        <w:pStyle w:val="TextBody"/>
        <w:bidi w:val="0"/>
        <w:spacing w:lineRule="auto" w:line="288" w:before="240" w:after="283"/>
        <w:ind w:left="0" w:right="0" w:hanging="360"/>
        <w:jc w:val="both"/>
        <w:rPr/>
      </w:pPr>
      <w:r>
        <w:rPr>
          <w:color w:val="000000"/>
        </w:rPr>
        <w:t>•</w:t>
      </w:r>
      <w:r>
        <w:rPr>
          <w:rFonts w:ascii="Times New Roman;serif" w:hAnsi="Times New Roman;serif"/>
          <w:b/>
          <w:color w:val="000000"/>
          <w:sz w:val="20"/>
        </w:rPr>
        <w:t>Fleet Scale Transitioning to Productivity:</w:t>
      </w:r>
      <w:r>
        <w:rPr>
          <w:color w:val="000000"/>
        </w:rPr>
        <w:t xml:space="preserve"> </w:t>
      </w:r>
      <w:r>
        <w:rPr>
          <w:rFonts w:ascii="Times New Roman;serif" w:hAnsi="Times New Roman;serif"/>
          <w:b w:val="false"/>
          <w:color w:val="000000"/>
          <w:sz w:val="20"/>
        </w:rPr>
        <w:t>With approximately 2,000 robots deployed, focus has shifted from fleet expansion to increasing revenue per robot.</w:t>
      </w:r>
    </w:p>
    <w:p>
      <w:pPr>
        <w:pStyle w:val="TextBody"/>
        <w:bidi w:val="0"/>
        <w:spacing w:lineRule="auto" w:line="288" w:before="240" w:after="283"/>
        <w:ind w:left="0" w:right="0" w:hanging="360"/>
        <w:jc w:val="both"/>
        <w:rPr/>
      </w:pPr>
      <w:r>
        <w:rPr>
          <w:color w:val="000000"/>
        </w:rPr>
        <w:t>•</w:t>
      </w:r>
      <w:r>
        <w:rPr>
          <w:rFonts w:ascii="Times New Roman;serif" w:hAnsi="Times New Roman;serif"/>
          <w:b/>
          <w:color w:val="000000"/>
          <w:sz w:val="20"/>
        </w:rPr>
        <w:t>Revenue Becoming More Recurring and Diversified:</w:t>
      </w:r>
      <w:r>
        <w:rPr>
          <w:color w:val="000000"/>
        </w:rPr>
        <w:t xml:space="preserve"> </w:t>
      </w:r>
      <w:r>
        <w:rPr>
          <w:rFonts w:ascii="Times New Roman;serif" w:hAnsi="Times New Roman;serif"/>
          <w:b w:val="false"/>
          <w:color w:val="000000"/>
          <w:sz w:val="20"/>
        </w:rPr>
        <w:t>Software services contributed approximately one-third of Q1 revenue, with just under half of total revenue now recurring.</w:t>
      </w:r>
    </w:p>
    <w:p>
      <w:pPr>
        <w:pStyle w:val="TextBody"/>
        <w:bidi w:val="0"/>
        <w:spacing w:lineRule="auto" w:line="288" w:before="240" w:after="283"/>
        <w:ind w:left="0" w:right="0" w:hanging="360"/>
        <w:jc w:val="both"/>
        <w:rPr/>
      </w:pPr>
      <w:r>
        <w:rPr>
          <w:color w:val="000000"/>
        </w:rPr>
        <w:t>•</w:t>
      </w:r>
      <w:r>
        <w:rPr>
          <w:rFonts w:ascii="Times New Roman;serif" w:hAnsi="Times New Roman;serif"/>
          <w:b/>
          <w:color w:val="000000"/>
          <w:sz w:val="20"/>
        </w:rPr>
        <w:t>Healthcare Platform Advancing:</w:t>
      </w:r>
      <w:r>
        <w:rPr>
          <w:color w:val="000000"/>
        </w:rPr>
        <w:t xml:space="preserve"> </w:t>
      </w:r>
      <w:r>
        <w:rPr>
          <w:rFonts w:ascii="Times New Roman;serif" w:hAnsi="Times New Roman;serif"/>
          <w:b w:val="false"/>
          <w:color w:val="000000"/>
          <w:sz w:val="20"/>
        </w:rPr>
        <w:t>Diligent Robotics integration remains on plan, with a growing hospital pipeline and continued expansion of healthcare deployments.</w:t>
      </w:r>
    </w:p>
    <w:p>
      <w:pPr>
        <w:pStyle w:val="TextBody"/>
        <w:bidi w:val="0"/>
        <w:spacing w:lineRule="auto" w:line="288" w:before="240" w:after="283"/>
        <w:ind w:left="0" w:right="0" w:hanging="360"/>
        <w:jc w:val="both"/>
        <w:rPr/>
      </w:pPr>
      <w:r>
        <w:rPr>
          <w:color w:val="000000"/>
        </w:rPr>
        <w:t>•</w:t>
      </w:r>
      <w:r>
        <w:rPr>
          <w:rFonts w:ascii="Times New Roman;serif" w:hAnsi="Times New Roman;serif"/>
          <w:b/>
          <w:color w:val="000000"/>
          <w:sz w:val="20"/>
        </w:rPr>
        <w:t>Approaching 2 Million Deliveries:</w:t>
      </w:r>
      <w:r>
        <w:rPr>
          <w:color w:val="000000"/>
        </w:rPr>
        <w:t xml:space="preserve"> </w:t>
      </w:r>
      <w:r>
        <w:rPr>
          <w:rFonts w:ascii="Times New Roman;serif" w:hAnsi="Times New Roman;serif"/>
          <w:b w:val="false"/>
          <w:color w:val="000000"/>
          <w:sz w:val="20"/>
        </w:rPr>
        <w:t>Combined fleet nearing 2 million cumulative deliveries across indoor and outdoor environments, demonstrating scale and operational maturity.</w:t>
      </w:r>
    </w:p>
    <w:p>
      <w:pPr>
        <w:pStyle w:val="TextBody"/>
        <w:bidi w:val="0"/>
        <w:spacing w:lineRule="auto" w:line="288" w:before="240" w:after="283"/>
        <w:jc w:val="both"/>
        <w:rPr/>
      </w:pPr>
      <w:r>
        <w:rPr>
          <w:rFonts w:ascii="Times New Roman;serif" w:hAnsi="Times New Roman;serif"/>
          <w:b/>
          <w:color w:val="000000"/>
          <w:sz w:val="20"/>
        </w:rPr>
        <w:t>Financial Highlights</w:t>
      </w:r>
      <w:r>
        <w:rPr>
          <w:color w:val="000000"/>
        </w:rPr>
        <w:t xml:space="preserve"> </w:t>
      </w:r>
    </w:p>
    <w:p>
      <w:pPr>
        <w:pStyle w:val="TextBody"/>
        <w:bidi w:val="0"/>
        <w:spacing w:lineRule="auto" w:line="288" w:before="240" w:after="283"/>
        <w:ind w:left="0" w:right="0" w:hanging="360"/>
        <w:jc w:val="both"/>
        <w:rPr/>
      </w:pPr>
      <w:r>
        <w:rPr>
          <w:color w:val="000000"/>
        </w:rPr>
        <w:t>•</w:t>
      </w:r>
      <w:r>
        <w:rPr>
          <w:rFonts w:ascii="Times New Roman;serif" w:hAnsi="Times New Roman;serif"/>
          <w:b/>
          <w:color w:val="000000"/>
          <w:sz w:val="20"/>
        </w:rPr>
        <w:t xml:space="preserve">Revenue: </w:t>
      </w:r>
      <w:r>
        <w:rPr>
          <w:rFonts w:ascii="Times New Roman;serif" w:hAnsi="Times New Roman;serif"/>
          <w:b w:val="false"/>
          <w:color w:val="000000"/>
          <w:sz w:val="20"/>
        </w:rPr>
        <w:t>Revenue of $3.0 million, increasing 238% sequentially and 578% year-over-year.</w:t>
      </w:r>
    </w:p>
    <w:p>
      <w:pPr>
        <w:pStyle w:val="TextBody"/>
        <w:bidi w:val="0"/>
        <w:spacing w:lineRule="auto" w:line="288" w:before="240" w:after="283"/>
        <w:ind w:left="0" w:right="0" w:hanging="360"/>
        <w:jc w:val="both"/>
        <w:rPr/>
      </w:pPr>
      <w:r>
        <w:rPr>
          <w:color w:val="000000"/>
        </w:rPr>
        <w:t>•</w:t>
      </w:r>
      <w:r>
        <w:rPr>
          <w:rFonts w:ascii="Times New Roman;serif" w:hAnsi="Times New Roman;serif"/>
          <w:b/>
          <w:color w:val="000000"/>
          <w:sz w:val="20"/>
        </w:rPr>
        <w:t>Balance Sheet:</w:t>
      </w:r>
      <w:r>
        <w:rPr>
          <w:color w:val="000000"/>
        </w:rPr>
        <w:t xml:space="preserve"> </w:t>
      </w:r>
      <w:r>
        <w:rPr>
          <w:rFonts w:ascii="Times New Roman;serif" w:hAnsi="Times New Roman;serif"/>
          <w:b w:val="false"/>
          <w:color w:val="000000"/>
          <w:sz w:val="20"/>
        </w:rPr>
        <w:t xml:space="preserve">Maintained a strong liquidity position of $197.4 million as of March 31, 2026. </w:t>
      </w:r>
    </w:p>
    <w:p>
      <w:pPr>
        <w:pStyle w:val="TextBody"/>
        <w:bidi w:val="0"/>
        <w:spacing w:lineRule="auto" w:line="288" w:before="240" w:after="283"/>
        <w:ind w:left="0" w:right="0" w:hanging="360"/>
        <w:jc w:val="both"/>
        <w:rPr/>
      </w:pPr>
      <w:r>
        <w:rPr>
          <w:color w:val="000000"/>
        </w:rPr>
        <w:t>•</w:t>
      </w:r>
      <w:r>
        <w:rPr>
          <w:rFonts w:ascii="Times New Roman;serif" w:hAnsi="Times New Roman;serif"/>
          <w:b/>
          <w:color w:val="000000"/>
          <w:sz w:val="20"/>
        </w:rPr>
        <w:t xml:space="preserve">Outstanding Shares: </w:t>
      </w:r>
      <w:r>
        <w:rPr>
          <w:rFonts w:ascii="Times New Roman;serif" w:hAnsi="Times New Roman;serif"/>
          <w:b w:val="false"/>
          <w:color w:val="000000"/>
          <w:sz w:val="20"/>
        </w:rPr>
        <w:t xml:space="preserve">Approximately 76 million shares of common stock outstanding as of March 31, 2026.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Outlook</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reaffirming its 2026 financial guidance of approximately $26 million in full year revenue; and 2026 Non-GAAP operating expense of $160 to $170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Supplemental Financial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key metrics and financial tables outlined below are metrics that provide management with additional understanding of the drivers of business performance and the Company’s ability to deliver stockholder return. Investors should not place undue reliance on these metrics as indicators of future or expected results. The Company’s presentation of these metrics may differ from similarly titled metrics presented by other companies and therefore comparability may be limited. </w: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Table 1</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Key Metrics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(unaudited) </w:t>
      </w:r>
    </w:p>
    <w:tbl>
      <w:tblPr>
        <w:tblW w:w="7550" w:type="dxa"/>
        <w:jc w:val="center"/>
        <w:tblInd w:w="0" w:type="dxa"/>
        <w:tblLayout w:type="fixed"/>
        <w:tblCellMar>
          <w:top w:w="28" w:type="dxa"/>
          <w:left w:w="28" w:type="dxa"/>
          <w:bottom w:w="28" w:type="dxa"/>
          <w:right w:w="28" w:type="dxa"/>
        </w:tblCellMar>
      </w:tblPr>
      <w:tblGrid>
        <w:gridCol w:w="720"/>
        <w:gridCol w:w="636"/>
        <w:gridCol w:w="638"/>
        <w:gridCol w:w="534"/>
        <w:gridCol w:w="534"/>
        <w:gridCol w:w="536"/>
        <w:gridCol w:w="124"/>
        <w:gridCol w:w="124"/>
        <w:gridCol w:w="124"/>
        <w:gridCol w:w="574"/>
        <w:gridCol w:w="574"/>
        <w:gridCol w:w="576"/>
        <w:gridCol w:w="124"/>
        <w:gridCol w:w="124"/>
        <w:gridCol w:w="124"/>
        <w:gridCol w:w="434"/>
        <w:gridCol w:w="434"/>
        <w:gridCol w:w="616"/>
      </w:tblGrid>
      <w:tr>
        <w:trPr/>
        <w:tc>
          <w:tcPr>
            <w:tcW w:w="720"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6"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March 31, 2026</w:t>
            </w:r>
            <w:r>
              <w:rPr>
                <w:rFonts w:ascii="Times New Roman;serif" w:hAnsi="Times New Roman;serif"/>
                <w:b/>
                <w:color w:val="000000"/>
                <w:sz w:val="13"/>
              </w:rPr>
              <w:t>(3)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Daily Active Robots </w:t>
            </w:r>
            <w:r>
              <w:rPr>
                <w:rFonts w:ascii="Times New Roman;serif" w:hAnsi="Times New Roman;serif"/>
                <w:b w:val="false"/>
                <w:color w:val="000000"/>
                <w:sz w:val="13"/>
              </w:rPr>
              <w:t>(1)</w:t>
            </w:r>
          </w:p>
        </w:tc>
        <w:tc>
          <w:tcPr>
            <w:tcW w:w="1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812</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547</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Daily Supply Hours </w:t>
            </w:r>
            <w:r>
              <w:rPr>
                <w:rFonts w:ascii="Times New Roman;serif" w:hAnsi="Times New Roman;serif"/>
                <w:b w:val="false"/>
                <w:color w:val="000000"/>
                <w:sz w:val="13"/>
              </w:rPr>
              <w:t>(2)</w:t>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10,295</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6,676</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648</w:t>
            </w:r>
          </w:p>
        </w:tc>
      </w:tr>
    </w:tbl>
    <w:p>
      <w:pPr>
        <w:pStyle w:val="TextBody"/>
        <w:bidi w:val="0"/>
        <w:spacing w:lineRule="auto" w:line="288" w:before="200" w:after="283"/>
        <w:ind w:left="0" w:right="0" w:hanging="360"/>
        <w:jc w:val="both"/>
        <w:rPr/>
      </w:pPr>
      <w:r>
        <w:rPr>
          <w:rFonts w:ascii="Times New Roman;serif" w:hAnsi="Times New Roman;serif"/>
          <w:b w:val="false"/>
          <w:color w:val="000000"/>
          <w:sz w:val="20"/>
        </w:rPr>
        <w:t>(1)</w:t>
      </w:r>
      <w:r>
        <w:rPr>
          <w:rFonts w:ascii="Times New Roman;serif" w:hAnsi="Times New Roman;serif"/>
          <w:b w:val="false"/>
          <w:i/>
          <w:color w:val="000000"/>
          <w:sz w:val="20"/>
        </w:rPr>
        <w:t xml:space="preserve">Daily Active Robots: </w:t>
      </w:r>
      <w:r>
        <w:rPr>
          <w:rFonts w:ascii="Times New Roman;serif" w:hAnsi="Times New Roman;serif"/>
          <w:b w:val="false"/>
          <w:color w:val="000000"/>
          <w:sz w:val="20"/>
        </w:rPr>
        <w:t>The Company defines daily active robots as the average number of robots performing deliveries during the period.</w:t>
      </w:r>
    </w:p>
    <w:p>
      <w:pPr>
        <w:pStyle w:val="TextBody"/>
        <w:bidi w:val="0"/>
        <w:spacing w:lineRule="auto" w:line="288" w:before="0" w:after="0"/>
        <w:ind w:left="0" w:right="0" w:hanging="360"/>
        <w:jc w:val="both"/>
        <w:rPr/>
      </w:pPr>
      <w:r>
        <w:rPr>
          <w:rFonts w:ascii="Times New Roman;serif" w:hAnsi="Times New Roman;serif"/>
          <w:b w:val="false"/>
          <w:color w:val="000000"/>
          <w:sz w:val="20"/>
        </w:rPr>
        <w:t>(2)</w:t>
      </w:r>
      <w:r>
        <w:rPr>
          <w:rFonts w:ascii="Times New Roman;serif" w:hAnsi="Times New Roman;serif"/>
          <w:b w:val="false"/>
          <w:i/>
          <w:color w:val="000000"/>
          <w:sz w:val="20"/>
        </w:rPr>
        <w:t xml:space="preserve">Daily Supply Hours: </w:t>
      </w:r>
      <w:r>
        <w:rPr>
          <w:rFonts w:ascii="Times New Roman;serif" w:hAnsi="Times New Roman;serif"/>
          <w:b w:val="false"/>
          <w:color w:val="000000"/>
          <w:sz w:val="20"/>
        </w:rPr>
        <w:t>The Company defines daily supply hours as the average number of hours the Company’s robots are available to perform daily deliveries during the period.</w:t>
      </w:r>
      <w:r>
        <w:rPr>
          <w:color w:val="000000"/>
        </w:rPr>
        <w:t xml:space="preserve">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(3)The key metrics reported for the three months ended March 31, 2026 are inclusive of the outdoor and indoor robot fleet.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Table 2</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Disaggregation of Revenue</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tbl>
      <w:tblPr>
        <w:tblW w:w="6817" w:type="dxa"/>
        <w:jc w:val="center"/>
        <w:tblInd w:w="0" w:type="dxa"/>
        <w:tblLayout w:type="fixed"/>
        <w:tblCellMar>
          <w:top w:w="28" w:type="dxa"/>
          <w:left w:w="28" w:type="dxa"/>
          <w:bottom w:w="28" w:type="dxa"/>
          <w:right w:w="28" w:type="dxa"/>
        </w:tblCellMar>
      </w:tblPr>
      <w:tblGrid>
        <w:gridCol w:w="548"/>
        <w:gridCol w:w="483"/>
        <w:gridCol w:w="484"/>
        <w:gridCol w:w="324"/>
        <w:gridCol w:w="948"/>
        <w:gridCol w:w="167"/>
        <w:gridCol w:w="109"/>
        <w:gridCol w:w="109"/>
        <w:gridCol w:w="109"/>
        <w:gridCol w:w="461"/>
        <w:gridCol w:w="1021"/>
        <w:gridCol w:w="242"/>
        <w:gridCol w:w="109"/>
        <w:gridCol w:w="109"/>
        <w:gridCol w:w="109"/>
        <w:gridCol w:w="377"/>
        <w:gridCol w:w="833"/>
        <w:gridCol w:w="275"/>
      </w:tblGrid>
      <w:tr>
        <w:trPr/>
        <w:tc>
          <w:tcPr>
            <w:tcW w:w="54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Fleet services</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services</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Quarterly Conference Call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will host a conference call and webcast today at 2:00 p.m. PT / 5:00 p.m. ET to discuss the financial results and provide a corporate update. A live webcast and replay can be accessed from the investor relations page of Serve's website at investors.serverobotics.com.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Individuals interested in listening to the conference call may do so by dialing 800-715-9871 and referencing conference ID 2664698.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About Serve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Serve Robotics (Nasdaq: SERV) designs and operates autonomous robots that navigate and operate in complex, human-centric environments. Since spinning off from Uber in 2021, Serve has deployed more than 2,000 robots across the U.S., reaching a population of approximately 3 million and supporting delivery for more than 4,000+ restaurants. In 2026, Serve acquired Diligent Robotics, expanding its operations beyond sidewalk delivery into indoor service robots used in hospitals. Serve designs both the hardware and software behind its robots, enabling them to operate safely in public and private environments at scale.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For further information about Serve (Nasdaq: SERV), please visit www.serverobotics.com or follow us on social media via X (Twitter), Instagram, or LinkedIn @serverobotics.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Forward Looking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This press release contains “forward-looking statements,” within the meaning of Section 27A of the Securities Act of 1933, as amended, Section 21E of the Securities Exchange Act of 1934, as amended, and the Private Securities Litigation Reform Act of 1995. Forward-looking statements may be identified by the context of the statement and generally arise when we or our management are discussing our beliefs, estimates or expectations. Such statements generally include the words “believes,” “plans,” “intends,” “targets,” “may,” “could,” “should,” “will,” “expects,” “estimates,” “suggests,” “anticipates,” “outlook,” “continues,” or similar expressions. These statements are not historical facts or guarantees of future performance, but represent management’s belief at the time the statements were made regarding future events which are subject to certain risks, uncertainties and other factors, many of which are outside of our control. Actual results and outcomes may differ materially from what is expressed or forecast in such forward-looking statements. Forward-looking statements include statements regarding the Company’s future revenue generation, business and investment strategy, timing of robot manufacturing and deployment, ability to expand to additional markets, capabilities of the Company’s robots, outcomes of planned and completed acquisitions, partnerships with multiple delivery platforms, and timing and ability to scale to commercial production.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contained in this press release are also subject to other risks and uncertainties, including those more fully described in our filings with the Securities and Exchange Commission (“SEC”), including in the sections entitled “Risk Factors” and “Management’s Discussion and Analysis of Financial Condition and Results of Operations'' in our Annual Report on Form 10-K for the year ended December 31, 2025, and in the Company’s subsequent SEC filings. The Company can give no assurance that the plans, intentions, expectations or strategies as reflected in or suggested by those forward-looking statements will be attained or achieved. The forward-looking statements in this presentation are based on information available to the Company as of the date hereof, and the Company disclaims any obligation to update any forward-looking statements, except as required by law. These forward-looking statements should not be relied upon as representing the Company’s views as of any date subsequent to the date of this presentation.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Non-GAAP Measures of Financial Performance</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To supplement the Company’s financial statements, which are presented on the basis of U.S. generally accepted accounting principles (“GAAP”), the following non-GAAP measures of financial performance are included in this release: non-GAAP cost of sales, non-GAAP general and administrative expense, non-GAAP research and development expense, non-GAAP operations expense, non-GAAP sales and marketing expense, non-GAAP operating expense, adjusted EBITDA, non-GAAP net loss before income taxes, non-GAAP net loss and non-GAAP earnings per share.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believes that providing this non-GAAP information in addition to the GAAP financial information allows investors to view the financial results in the way the company views its operating results. The Company also believes that providing this information allows investors to not only better understand the Company's financial performance, but also, better evaluate the information used by management to evaluate and measure such performance.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As such, the Company believes that disclosing non-GAAP financial measures to the readers of its financial statements provides the reader with useful supplemental information that allows for greater transparency in the review of the Company’s financial and operational performance. The Company defines its non-GAAP measures by excluding stock-based compensation.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Reconciliations of GAAP to these adjusted non-GAAP financial measures are included in the tables presented. When analyzing the Company's operating results, investors should not consider non-GAAP measures as substitutes for the comparable financial measures prepared in accordance with GAAP.</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To the extent that the Company presents any forward-looking non-GAAP financial measures, the Company does not present a quantitative reconciliation of such measures to the most directly comparable GAAP financial measure (or otherwise present such forward-looking GAAP measures) because it is impractical to do so.</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Contacts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Investor Relations</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investor.relations@serverobotics.com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7"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Table 3</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Serve Robotics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964"/>
        <w:gridCol w:w="2337"/>
        <w:gridCol w:w="2198"/>
        <w:gridCol w:w="211"/>
        <w:gridCol w:w="826"/>
        <w:gridCol w:w="109"/>
        <w:gridCol w:w="109"/>
        <w:gridCol w:w="109"/>
        <w:gridCol w:w="109"/>
        <w:gridCol w:w="218"/>
        <w:gridCol w:w="853"/>
        <w:gridCol w:w="162"/>
      </w:tblGrid>
      <w:tr>
        <w:trPr/>
        <w:tc>
          <w:tcPr>
            <w:tcW w:w="2964"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106,239 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127,170 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6,042 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241,075 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47,013 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26,344 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31,313 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15,530 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5,369 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340,804 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367,751 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2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5,014 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6,482 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13,298 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17,007 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10,000,000 shares authorized, 0 shares issued or outstanding as of both March 31, 2026 and December 31, 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300,000,000 shares authorized, 76,061,507 and 74,781,782 shares issued and 76,014,674 and 74,734,949 shares outstanding as of March 31, 2026 and December 31, 2025,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575,734 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559,485 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(257,890)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(208,886)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317,790 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350,744 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340,804 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367,751 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8"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Table 4</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Serve Robotics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852"/>
        <w:gridCol w:w="1587"/>
        <w:gridCol w:w="1600"/>
        <w:gridCol w:w="266"/>
        <w:gridCol w:w="998"/>
        <w:gridCol w:w="136"/>
        <w:gridCol w:w="109"/>
        <w:gridCol w:w="109"/>
        <w:gridCol w:w="109"/>
        <w:gridCol w:w="314"/>
        <w:gridCol w:w="1182"/>
        <w:gridCol w:w="162"/>
        <w:gridCol w:w="109"/>
        <w:gridCol w:w="109"/>
        <w:gridCol w:w="109"/>
        <w:gridCol w:w="264"/>
        <w:gridCol w:w="990"/>
        <w:gridCol w:w="200"/>
      </w:tblGrid>
      <w:tr>
        <w:trPr/>
        <w:tc>
          <w:tcPr>
            <w:tcW w:w="1852"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6"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11,985 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7,557 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loss</w:t>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(9,001)</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(6,675)</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(1,469)</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19,037 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15,853 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6,880 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14,916 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11,137 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4,750 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6,955 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5,321 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42,781 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33,627 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13,537 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(51,782)</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(40,302)</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(15,006)</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before income taxes</w:t>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(49,652)</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(37,929)</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(13,217)</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3,656 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(49,004)</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(34,273)</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(13,217)</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basic and diluted</w:t>
            </w:r>
          </w:p>
        </w:tc>
        <w:tc>
          <w:tcPr>
            <w:tcW w:w="1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75,302,980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73,829,726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90"/>
              <w:jc w:val="right"/>
              <w:rPr>
                <w:rFonts w:ascii="Times New Roman;serif" w:hAnsi="Times New Roman;serif"/>
                <w:b w:val="false"/>
                <w:color w:val="000000"/>
                <w:sz w:val="20"/>
              </w:rPr>
            </w:pPr>
            <w:r>
              <w:rPr>
                <w:rFonts w:ascii="Times New Roman;serif" w:hAnsi="Times New Roman;serif"/>
                <w:b w:val="false"/>
                <w:color w:val="000000"/>
                <w:sz w:val="20"/>
              </w:rPr>
              <w:t>56,319,299</w:t>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common share - basic and diluted</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(0.65)</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(0.46)</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(0.23)</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9"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Table 5</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Serve Robotics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10"/>
        <w:gridCol w:w="2377"/>
        <w:gridCol w:w="2393"/>
        <w:gridCol w:w="211"/>
        <w:gridCol w:w="784"/>
        <w:gridCol w:w="109"/>
        <w:gridCol w:w="109"/>
        <w:gridCol w:w="109"/>
        <w:gridCol w:w="109"/>
        <w:gridCol w:w="211"/>
        <w:gridCol w:w="826"/>
        <w:gridCol w:w="157"/>
      </w:tblGrid>
      <w:tr>
        <w:trPr/>
        <w:tc>
          <w:tcPr>
            <w:tcW w:w="2810" w:type="dxa"/>
            <w:tcBorders/>
            <w:vAlign w:val="center"/>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sz w:val="4"/>
                <w:szCs w:val="4"/>
              </w:rPr>
            </w:pPr>
            <w:r>
              <w:rPr>
                <w:sz w:val="4"/>
                <w:szCs w:val="4"/>
              </w:rPr>
            </w:r>
          </w:p>
        </w:tc>
        <w:tc>
          <w:tcPr>
            <w:tcW w:w="23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r>
      <w:tr>
        <w:trPr/>
        <w:tc>
          <w:tcPr>
            <w:tcW w:w="7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5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(13,217)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3,879 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&amp; amortization</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discount on available-for-sale securities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effects of businesses acquired:</w:t>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(41,422)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(9,463)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and sales of marketable securities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net of cash acquired</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(3,461)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Security deposits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implementation costs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 activities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(3,300)</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under the 2025 Equity Distribution Agreement, net of offering costs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options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net of offering costs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75,847 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warrants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11,787 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financing lease liability</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short-swing profit disgorgement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87,256 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change in cash and cash equivalents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74,493 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123,266 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47,114 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197,759 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Table 6</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Reconciliation of GAAP Net Losses to Adjusted EBITDA</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w:t>
      </w:r>
    </w:p>
    <w:tbl>
      <w:tblPr>
        <w:tblW w:w="7762" w:type="dxa"/>
        <w:jc w:val="center"/>
        <w:tblInd w:w="0" w:type="dxa"/>
        <w:tblLayout w:type="fixed"/>
        <w:tblCellMar>
          <w:top w:w="28" w:type="dxa"/>
          <w:left w:w="28" w:type="dxa"/>
          <w:bottom w:w="28" w:type="dxa"/>
          <w:right w:w="28" w:type="dxa"/>
        </w:tblCellMar>
      </w:tblPr>
      <w:tblGrid>
        <w:gridCol w:w="889"/>
        <w:gridCol w:w="781"/>
        <w:gridCol w:w="789"/>
        <w:gridCol w:w="272"/>
        <w:gridCol w:w="1027"/>
        <w:gridCol w:w="140"/>
        <w:gridCol w:w="109"/>
        <w:gridCol w:w="109"/>
        <w:gridCol w:w="109"/>
        <w:gridCol w:w="326"/>
        <w:gridCol w:w="1231"/>
        <w:gridCol w:w="168"/>
        <w:gridCol w:w="109"/>
        <w:gridCol w:w="109"/>
        <w:gridCol w:w="109"/>
        <w:gridCol w:w="270"/>
        <w:gridCol w:w="1018"/>
        <w:gridCol w:w="197"/>
      </w:tblGrid>
      <w:tr>
        <w:trPr/>
        <w:tc>
          <w:tcPr>
            <w:tcW w:w="8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on GAAP basis</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(49,004)</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(34,273)</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(13,216)</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 related expenses</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&amp; amortization</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Adjusted EBITDA</w:t>
            </w:r>
          </w:p>
        </w:tc>
        <w:tc>
          <w:tcPr>
            <w:tcW w:w="2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(36,325)</w:t>
            </w:r>
          </w:p>
        </w:tc>
        <w:tc>
          <w:tcPr>
            <w:tcW w:w="1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(28,005)</w:t>
            </w:r>
          </w:p>
        </w:tc>
        <w:tc>
          <w:tcPr>
            <w:tcW w:w="1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(10,651)</w:t>
            </w:r>
          </w:p>
        </w:tc>
        <w:tc>
          <w:tcPr>
            <w:tcW w:w="1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Table 7</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Reconciliation of GAAP Measures to Non-GAAP Measures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857"/>
        <w:gridCol w:w="1576"/>
        <w:gridCol w:w="1580"/>
        <w:gridCol w:w="272"/>
        <w:gridCol w:w="1003"/>
        <w:gridCol w:w="136"/>
        <w:gridCol w:w="109"/>
        <w:gridCol w:w="109"/>
        <w:gridCol w:w="109"/>
        <w:gridCol w:w="326"/>
        <w:gridCol w:w="1179"/>
        <w:gridCol w:w="161"/>
        <w:gridCol w:w="109"/>
        <w:gridCol w:w="109"/>
        <w:gridCol w:w="109"/>
        <w:gridCol w:w="270"/>
        <w:gridCol w:w="995"/>
        <w:gridCol w:w="196"/>
      </w:tblGrid>
      <w:tr>
        <w:trPr/>
        <w:tc>
          <w:tcPr>
            <w:tcW w:w="1857"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cost of revenues</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cost of revenues</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GAAP research and development expense</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Non-GAAP research and development expense</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GAAP general &amp; administrative expense</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expenses</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Non-GAAP general and administrative expense</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GAAP operations expense </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Non-GAAP operations expense</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GAAP sales and marketing expense </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Non-GAAP sales and marketing expense</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operating expense</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42,781 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$13,536</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expenses</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operating expenses</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loss before income taxes</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(49,652)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(37,929)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expenses</w:t>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net loss before income taxes</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(38,642)</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(28,885)</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(9,337)</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loss</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(49,004)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expenses</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net loss</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(37,994)</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(25,229)</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(9,337)</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basic and diluted</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75,302,980 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73,829,726 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56,319,299 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basic and diluted net loss per Common share</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basic and diluted net loss per Common share</w:t>
            </w:r>
          </w:p>
        </w:tc>
        <w:tc>
          <w:tcPr>
            <w:tcW w:w="27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w:t>
            </w:r>
          </w:p>
        </w:tc>
        <w:tc>
          <w:tcPr>
            <w:tcW w:w="1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w:t>
            </w:r>
          </w:p>
        </w:tc>
        <w:tc>
          <w:tcPr>
            <w:tcW w:w="1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1" w:name="serve_investorxdeckx07ma.htm"/>
      <w:bookmarkStart w:id="2" w:name="ksserve_investorxdeckx07ma"/>
      <w:bookmarkEnd w:id="1"/>
      <w:bookmarkEnd w:id="2"/>
      <w:r>
        <w:rPr/>
        <w:drawing>
          <wp:inline distT="0" distB="0" distL="0" distR="0">
            <wp:extent cx="9753600" cy="5486400"/>
            <wp:effectExtent l="0" t="0" r="0" b="0"/>
            <wp:docPr id="1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13"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jc w:val="center"/>
        <w:rPr>
          <w:color w:val="FFFFFF"/>
          <w:sz w:val="2"/>
        </w:rPr>
      </w:pPr>
      <w:r>
        <w:rPr>
          <w:color w:val="FFFFFF"/>
          <w:sz w:val="2"/>
        </w:rPr>
        <w:t xml:space="preserve">Proprietary and Confidential Investor Presentation 2026 Autonomous robotics at scale.→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2Proprietary and Confidential Forward-looking statements and disclaimers This presentation contains forward-looking statements within the meaning of Section 27A of the Securities Act of 1933, as amended, and Section 21E of the Securities Exchange Act of 1934, as amended. These statements are not historical facts or guarantees of future performance. Forward-looking statements include statements regarding the Company's future revenue generation, business and investment strategy, timing of robot manufacturing and deployment, ability to expand to additional markets, capabilities of the Company's robots, outcomes of planned and completed acquisitions, partnerships with multiple delivery platforms, and timing and ability to scale to commercial production. Actual results may differ materially from what is expressed or forecast. These statements are subject to risks and uncertainties described in our SEC filings, including our Annual Report on Form 10K for the year ended December 31, 2025. The Company disclaims any obligation to update forward-looking statements except as required by law. Market data in this presentation is obtained from third-party sources. Although we believe these sources are reliable, we have not independently verified the information. Third-party trademarks are the property of their respective owners.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3Proprietary and Confidential Every day, millions of small packages travel short distances in oversized vehicles. We built the robots that make that obsolete. Serve is a leading autonomous robotics company operating scaled commercial Level 4 fleets across 44 U.S. cities.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4Proprietary and Confidential Category creator The largest autonomous robot fleets operating commercially in the U.S. Multi platform Integration with Uber Eats and DoorDash for food delivery; Partnerships with 26 hospitals in the U.S. Triple Digit% Rev Growth Outlook for 2026 revenue: $26M (vs $2.7M in FY2025 Diversified Revenue ᐧ Last-mile Delivery ᐧ Healthcare ᐧ Branding &amp; Advertising ᐧ Software Platform ᐧ Data Funded to scale Strong balance sheet with flexibility to invest opportunistically Serve Flywheel More Data → Better Models → Better Robots → Stronger Revenue → More Robots → More Data Serve Robotics is an industry leader in Physical AI.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5Proprietary and Confidential $450B Robotic &amp; drone delivery opportunity by 2030 2.5 mi Median food delivery distance in the U.S. $810 Current per-delivery cost with human couriers Sources: ARK Big Ideas 2025, NHTSA, Company estimates | © 2026 Serve Robotics Inc. Short trips. Small packages. Massive inefficiency. The median U.S. food delivery is 2.5 miles – yet it travels in a 2-ton car Last mile delivery is broken. Robots fix it. The Opportunity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6Proprietary and Confidential 1.8M Sidewalk + Hospital deliveries To date Zero Major incidents Serious injury, fatality, or near miss 99.8% Completion rate Industry-leading reliability 2,000 100 Moxi Hospital robots deployed 44 U.S. cities 150+ neighborhoods 14 states We donʼt just build robots. We build delivery networks. Largest autonomous sidewalk fleet in the United States. Fleet grew 20x in one year. All figures based on internal operational data | © 2026 Serve Robotics Inc. Traction Serve Sidewalk robots deployed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7Proprietary and Confidential Commercial partner integrated since inception. Multi-year strategic partnership. Rollout underway in select U.S. cities. We don't compete with delivery platforms. We power them. Our robots are integrated into the two largest U.S. delivery apps - creating built-in demand from day one in every new market. Embedded in the leading platforms in U.S. food delivery The Ecosystem 40% Avg QoQ delivery growth Compounding since 2022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8Proprietary and Confidential A commercially scalable ecosystem backed by tier 1 partners across hardware, compute, and sensing. World-class hardware partners The Ecosystem Leading provider of high-resolution digital lidar sensors. Tier 1 automotive contract manufacturer. Gen3 production at scale. Jetson Orin compute platform. Powers Gen3 autonomy stack.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Compelling value proposition for merchants, consumers, and delivery platforms Economics With Serve Rising labor costs and regulations. Insurance overhead. High turnover. Limited operating hours. No driver wages. 14-hour operation. 65% lower hardware cost with Gen3. High utilization through platform integration. $810 per delivery status quo $1 expected delivery cost at scale Today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10Proprietary and Confidential Every dollar of revenue funds more robots → more data → better models → more deployments → more revenue. 2,000 Serve robots on sidewalks. 100 Moxi robots in hospitals. Multi-domain, real- world data no one else can match. 1 Data End-to-end models train across our domains. What a robot learns in LA helps a robot in Dallas or with navigating a hospital corridor. 2 Models Scale autonomy onto live fleets. Uber Eats + DoorDash deliver demand. Every deployment generates new data. 3 Deploy Delivery, advertising, healthcare contracts, software, and platform revenue funding the next turn of the flywheel. 4 Monetize Real world data at scale fuels faster learning The Serve Flywheel Serve Physical AI Platform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11Proprietary and Confidential We donʼt just operate robots. We operate a platform that powers Physical AI. Our stack is end-to-end: perception, localization, planning, connectivity, and remote supervision. Itʼs been built and optimized across millions of miles of real-world operation. Indoor / Outdoor robot environments Applications Perception · Localization · Planning · Mobile manipulation Autonomy Low-latency assist operations Connectivity End-to-end models · Cross-domain training data Models and data Mission control · Safety · Software Deploy · Telemetry Fleet infrastructure The Serve autonomy stack One autonomy stack. Many environments. The Platform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Gen2 Gen3 Top Speed 7 mph 11 mph Weather 32104°F / Light rain 4113°F / Heavy rain Range 23 mi 10 hrs 48 mi 14 hrs Cargo 13 gal / 4 14" pizzas 15 gal / 4 16" pizzas Unit Cost Baseline 65% reduction Full-stack AV sensors Level 4 autonomy All-day battery Redundant connectivity NVIDIA Jetson Orin Third generation. Purpose-built for the sidewalk. The Serve robot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Purpose-built for the hospital. The Moxi robot Hardware &amp; operating profile Compute NVIDIA RTX A2000 10× prior gen) Battery 70% capacity, 18h runtime Sensors 3D lidar, cameras Manipulation Mobile arm, drawer cameras Operating environment Multi-level hospitals, clinics, labs Diligent Robotics was acquired by Serve Robotics in early 2026. Moxi 2.0 Capabilities Retrieving and delivering lab specimens Inpatient pharmacy optimization Telemetry box distribution Meds-to-Beds programs Multi-floor navigation: open doors and manually operate elevators Cabinet &amp; drawer ops with mobile arm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14Proprietary and Confidential First Gen3 robots roll off Magna assembly line Oct 2024 Fleet quadrupled. Miami, Dallas, Atlanta launched. H1 2025 Dec 2025 Fleet quadrupled again. 2,000th robot deployed. Largest sidewalk fleet in the U.S. 2026 Optimize utilization. Expand geographies. Invest to grow Serve + Moxi fleet. 100  2,000 Serve robots in twelve months Manufacturing Automotive-grade production with Magna International. Industrialized supply chain. Proven ability to execute against aggressive deployment targets.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Los Angeles ● Miami ● Dallas ● Atlanta ● Chicago ● Ft. Lauderdale ● Alexandria Live: 2026 Growth drivers New metros Selected by density, order volume, and regulatory readiness Deeper penetration More neighborhoods within existing markets Platform pull Uber Eats &amp; DoorDash demand drives expansion priority Fleet Expansion Capital efficient investment to scale the robot fleet City-by-city. Neighborhood-by-neighborhood. National network Our playbook Launch in high-density neighborhood, prove unit economics, then expand outward. Platform demand pulls us into each new market.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CITIES LIST City by city. Neighborhood by neighborhood. ● New York ● San Jose ● Vancouver ● Sydney 2026: ● Seattle ● Philadelphia ● Boston ● Melbourne ● Perth ● Adelaide ● Tokyo ● Toronto ● Manchester ● London 2027+: ● Osaka ● Taipei ● Madrid Cities listed represent potential expansion markets and constitute forward looking statements subject to change based on business, regulatory, and operational considerations. Across the globe. Expansion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17Proprietary and Confidential From proof of concept to revenue inflection. Financial path 2,000-robot fleet creates the foundation for utilization, monetization, and platform expansion. FY 2024 FY 2025 $1.8M Early fleet. R&amp;D phase. $2.7M Guided $2.5M. Fleet → 2,000. FY 2026 Guidance $26M 10x growth. Utilization ramp. At scale Physical AI Platform Multi domain robots Shared autonomy stack Continuous model improvement with real world data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18Proprietary and Confidential 18 Diversification across geography, environment and customer Fleet Revenue Growth Engine Diversified revenue streams across Serve Revenue Diversification Food delivery: Partnerships with UberEats and DoorDash Healthcare: Long-term fixed monthly + usage contracts at hospitals Branding: Triple-digit growth percentage QoQ in Q1 FY2026 Kitchen: Vebu acquisition closed in Q1 High margin and increasingly recurring and durable Software Revenue High Margin SaaS Over 45% recurring driven by migration to subscription based contracts Autonomy platform: Licensing model that will continue to scale in 2026 As the fleet scales, the mix is shifting toward durable, recurring, and high-margin revenue.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19Proprietary and Confidential Built by people who've shipped robots, platforms, and products. Team Ali Kashani Co-founder, CEO VP at Postmates. Ph.D. Robotics UBC. 15 patents. Touraj Parang President &amp; COO VP Corp Dev at GoDaddy. Yale Law &amp; Stanford. MJ Burk Chun Co-founder &amp; VP Product + Design Director, Postmates. 17+ yrs in robotics &amp; marketplaces. Brian Read Chief Financial Officer Controller, Apptronik. Public finance at REE &amp; Coherent. CPA. Dmitry Demeshchuk Co-founder &amp; VP of Software Staff engineer &amp; founding engineer at Postmates X. Anthony Armenta Chief Software &amp; Data Officer CTO at BrightDrop GM, VP at Postmates (acq. Uber), Anki, Dell, Wyse (acq. Dell), BS in CS &amp; Math UC Davis) Rajesh Radhakrishnan VP of Autonomy Director at Ghost Autonomy; Head of ML at John Deere. Founding engineer at Blue River (acq. John Deere) MS in Computer Science UT Arlington) Euan Abraham Chief Hardware &amp; Manufacturing Officer SVP Hardware at Latch. VP Hardware at GoPro. Lead engineer at Apple. BS in Engineering U of Sheffield)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20Proprietary and Confidential A category- defining 2025 → Largest scaled commercial fleet on sidewalks and hospitals in the U.S. → 20X robot fleet size to 2,000 deployed robots → Cover 80% of U.S. food delivery demand with UberEats and DoorDash → Scaled to 20 cities and 6 metro areas from LA to D.C. corridor → Maintained 99.8% delivery completion rate and exemplary safety record → Expansion to 4500+ merchants and coverage for 3.75M consumers → Business expansion into healthcare, software, and data monetization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21Proprietary and Confidential Q1 FY2026 Financial Highlights $3.0M Q1 revenue exceeds plan 578% $197M cash &amp; marketable securities as of 31 Mar 2026 Results Outlook YOY revenue growth $26M 2026 revenue guidance $25M 2026 capex $160$170MNon-GAAP operating expense reflecting continued investment in autonomy development, fleet scale, and platform capabilities across both delivery and healthcare robotics. Business expansion into healthcare, software, and data monetization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Slide 16 Header: The Long-Term Vision Unbundling the car for dense cities Specialized autonomous robots for everyday urban tasks. ● Safer streets ● Lower emissions ● More efficient local commerce Design direction: Strong closing image. Minimal text. One idea only. The Operating Layer of Physical AI Nasdaq: SERV | serverobotics.com | investor.relations@serverobotics.com The Long-Term Vision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23Proprietary and Confidential Appendix Projected 2026 Operating Expenses (USD$ millions) GAAP Operating Expenses $ 197  212 Stock Based Compensation 37  42 Non-GAAP Operating Expenses $ 160  170 Reconciliation of GAAP Operating Expenses to Non-GAAP Operating Expenses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4971</Words>
  <Characters>28686</Characters>
  <CharactersWithSpaces>33256</CharactersWithSpaces>
  <Paragraphs>803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serve_investorxdeckx07ma</dc:title>
</cp:coreProperties>
</file>