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691656.xml.htm"/>
      <w:bookmarkStart w:id="1" w:name="kswkform4_17736916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Armenta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SERVE ROBOTICS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Serve Robotics Inc. /DE/</w:t>
              </w:r>
            </w:hyperlink>
            <w:r>
              <w:rPr/>
              <w:t xml:space="preserve"> [ </w:t>
            </w:r>
            <w:r>
              <w:rPr>
                <w:rFonts w:ascii="Times;serif" w:hAnsi="Times;serif"/>
                <w:color w:val="0000FF"/>
                <w:sz w:val="24"/>
                <w:shd w:fill="FFFFFF" w:val="clear"/>
              </w:rPr>
              <w:t>SERV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Software &amp; Data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3,567</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9.82</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540,919</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sold to satisfy tax withholding obligations relating to the acquisition of shares of the Issuer's common stock in connection with the settlement of the vested portion of RSUs pursuant to provisions of a restricted stock unit agreement by and between the Issuer and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Jongmin Char, as attorney-in-fact for Anthony Armenta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4520" TargetMode="External"/><Relationship Id="rId5" Type="http://schemas.openxmlformats.org/officeDocument/2006/relationships/hyperlink" Target="http://www.sec.gov/cgi-bin/browse-edgar?action=getcompany&amp;CIK=00018324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3385</Characters>
  <CharactersWithSpaces>3948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